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613825">
      <w:pPr>
        <w:keepNext w:val="0"/>
        <w:keepLines w:val="0"/>
        <w:pageBreakBefore w:val="0"/>
        <w:widowControl w:val="0"/>
        <w:tabs>
          <w:tab w:val="left" w:pos="3780"/>
        </w:tabs>
        <w:kinsoku/>
        <w:wordWrap/>
        <w:overflowPunct/>
        <w:topLinePunct w:val="0"/>
        <w:autoSpaceDE/>
        <w:autoSpaceDN/>
        <w:bidi w:val="0"/>
        <w:adjustRightInd w:val="0"/>
        <w:snapToGrid w:val="0"/>
        <w:spacing w:afterAutospacing="0" w:line="560" w:lineRule="exact"/>
        <w:jc w:val="both"/>
        <w:textAlignment w:val="auto"/>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eastAsia="zh-CN"/>
        </w:rPr>
        <w:t>附件</w:t>
      </w:r>
      <w:r>
        <w:rPr>
          <w:rFonts w:hint="eastAsia" w:ascii="黑体" w:hAnsi="黑体" w:eastAsia="黑体" w:cs="黑体"/>
          <w:b w:val="0"/>
          <w:bCs/>
          <w:sz w:val="32"/>
          <w:szCs w:val="32"/>
          <w:lang w:val="en-US" w:eastAsia="zh-CN"/>
        </w:rPr>
        <w:t>3：</w:t>
      </w:r>
    </w:p>
    <w:p w14:paraId="6266ACF7">
      <w:pPr>
        <w:keepNext w:val="0"/>
        <w:keepLines w:val="0"/>
        <w:pageBreakBefore w:val="0"/>
        <w:widowControl w:val="0"/>
        <w:tabs>
          <w:tab w:val="left" w:pos="3780"/>
        </w:tabs>
        <w:kinsoku/>
        <w:wordWrap/>
        <w:overflowPunct/>
        <w:topLinePunct w:val="0"/>
        <w:autoSpaceDE/>
        <w:autoSpaceDN/>
        <w:bidi w:val="0"/>
        <w:adjustRightInd w:val="0"/>
        <w:snapToGrid w:val="0"/>
        <w:spacing w:afterAutospacing="0" w:line="560" w:lineRule="exact"/>
        <w:jc w:val="both"/>
        <w:textAlignment w:val="auto"/>
        <w:rPr>
          <w:rFonts w:hint="eastAsia" w:ascii="华文中宋" w:hAnsi="华文中宋" w:eastAsia="华文中宋"/>
          <w:b/>
          <w:sz w:val="36"/>
          <w:szCs w:val="36"/>
        </w:rPr>
      </w:pPr>
    </w:p>
    <w:p w14:paraId="52486BBB">
      <w:pPr>
        <w:keepNext w:val="0"/>
        <w:keepLines w:val="0"/>
        <w:pageBreakBefore w:val="0"/>
        <w:widowControl w:val="0"/>
        <w:kinsoku/>
        <w:wordWrap/>
        <w:overflowPunct/>
        <w:topLinePunct w:val="0"/>
        <w:autoSpaceDE/>
        <w:autoSpaceDN/>
        <w:bidi w:val="0"/>
        <w:spacing w:line="560" w:lineRule="exact"/>
        <w:jc w:val="center"/>
        <w:textAlignment w:val="auto"/>
        <w:rPr>
          <w:rFonts w:hint="eastAsia" w:ascii="方正小标宋简体" w:hAnsi="方正小标宋简体" w:eastAsia="方正小标宋简体" w:cs="方正小标宋简体"/>
          <w:b/>
          <w:sz w:val="44"/>
          <w:szCs w:val="44"/>
        </w:rPr>
      </w:pPr>
      <w:r>
        <w:rPr>
          <w:rFonts w:hint="eastAsia" w:ascii="方正小标宋简体" w:hAnsi="方正小标宋简体" w:eastAsia="方正小标宋简体" w:cs="方正小标宋简体"/>
          <w:sz w:val="44"/>
          <w:szCs w:val="44"/>
          <w:lang w:eastAsia="zh-CN"/>
        </w:rPr>
        <w:t>新疆维吾尔自治区哲学社会科学创新平台课题</w:t>
      </w:r>
      <w:r>
        <w:rPr>
          <w:rFonts w:hint="eastAsia" w:ascii="方正小标宋简体" w:hAnsi="方正小标宋简体" w:eastAsia="方正小标宋简体" w:cs="方正小标宋简体"/>
          <w:sz w:val="44"/>
          <w:szCs w:val="44"/>
          <w:lang w:val="en-US" w:eastAsia="zh-CN"/>
        </w:rPr>
        <w:t>申报指南</w:t>
      </w:r>
    </w:p>
    <w:p w14:paraId="678403B1">
      <w:pPr>
        <w:keepNext w:val="0"/>
        <w:keepLines w:val="0"/>
        <w:pageBreakBefore w:val="0"/>
        <w:widowControl w:val="0"/>
        <w:kinsoku/>
        <w:wordWrap/>
        <w:overflowPunct/>
        <w:topLinePunct w:val="0"/>
        <w:autoSpaceDE/>
        <w:autoSpaceDN/>
        <w:bidi w:val="0"/>
        <w:adjustRightInd w:val="0"/>
        <w:snapToGrid w:val="0"/>
        <w:spacing w:afterAutospacing="0" w:line="560" w:lineRule="exact"/>
        <w:textAlignment w:val="auto"/>
        <w:rPr>
          <w:rFonts w:hint="eastAsia" w:ascii="黑体" w:hAnsi="黑体" w:eastAsia="黑体"/>
          <w:b/>
          <w:sz w:val="32"/>
          <w:szCs w:val="32"/>
        </w:rPr>
      </w:pPr>
    </w:p>
    <w:p w14:paraId="5989D344">
      <w:pPr>
        <w:keepNext w:val="0"/>
        <w:keepLines w:val="0"/>
        <w:pageBreakBefore w:val="0"/>
        <w:widowControl w:val="0"/>
        <w:kinsoku/>
        <w:wordWrap/>
        <w:overflowPunct/>
        <w:topLinePunct w:val="0"/>
        <w:autoSpaceDE/>
        <w:autoSpaceDN/>
        <w:bidi w:val="0"/>
        <w:adjustRightInd w:val="0"/>
        <w:snapToGrid w:val="0"/>
        <w:spacing w:afterAutospacing="0" w:line="560" w:lineRule="exact"/>
        <w:ind w:firstLine="643" w:firstLineChars="200"/>
        <w:textAlignment w:val="auto"/>
        <w:rPr>
          <w:rFonts w:hint="eastAsia" w:ascii="楷体" w:hAnsi="楷体" w:eastAsia="楷体" w:cs="楷体"/>
          <w:b/>
          <w:bCs/>
          <w:sz w:val="32"/>
          <w:szCs w:val="32"/>
          <w:lang w:val="en-US" w:eastAsia="zh-CN"/>
        </w:rPr>
      </w:pPr>
      <w:r>
        <w:rPr>
          <w:rFonts w:hint="eastAsia" w:ascii="黑体" w:hAnsi="黑体" w:eastAsia="黑体"/>
          <w:b/>
          <w:sz w:val="32"/>
          <w:szCs w:val="32"/>
        </w:rPr>
        <w:t>一、重点</w:t>
      </w:r>
      <w:r>
        <w:rPr>
          <w:rFonts w:hint="eastAsia" w:ascii="黑体" w:hAnsi="黑体" w:eastAsia="黑体"/>
          <w:b/>
          <w:sz w:val="32"/>
          <w:szCs w:val="32"/>
          <w:lang w:eastAsia="zh-CN"/>
        </w:rPr>
        <w:t>课题（</w:t>
      </w:r>
      <w:r>
        <w:rPr>
          <w:rFonts w:hint="eastAsia" w:ascii="黑体" w:hAnsi="黑体" w:eastAsia="黑体"/>
          <w:b/>
          <w:sz w:val="32"/>
          <w:szCs w:val="32"/>
          <w:lang w:val="en-US" w:eastAsia="zh-CN"/>
        </w:rPr>
        <w:t>12</w:t>
      </w:r>
      <w:r>
        <w:rPr>
          <w:rFonts w:hint="eastAsia" w:ascii="黑体" w:hAnsi="黑体" w:eastAsia="黑体"/>
          <w:b/>
          <w:sz w:val="32"/>
          <w:szCs w:val="32"/>
          <w:lang w:eastAsia="zh-CN"/>
        </w:rPr>
        <w:t>）</w:t>
      </w:r>
    </w:p>
    <w:p w14:paraId="4842EB1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w:t>
      </w:r>
      <w:r>
        <w:rPr>
          <w:rFonts w:hint="default" w:ascii="仿宋_GB2312" w:hAnsi="仿宋_GB2312" w:eastAsia="仿宋_GB2312" w:cs="仿宋_GB2312"/>
          <w:color w:val="auto"/>
          <w:sz w:val="32"/>
          <w:szCs w:val="32"/>
          <w:lang w:val="en-US" w:eastAsia="zh-CN"/>
        </w:rPr>
        <w:t>国家通用语言文字推广普及对南疆现代文明培育的引领效应与深化路径</w:t>
      </w:r>
    </w:p>
    <w:p w14:paraId="1C34C93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w:t>
      </w:r>
      <w:r>
        <w:rPr>
          <w:rFonts w:hint="default" w:ascii="仿宋_GB2312" w:hAnsi="仿宋_GB2312" w:eastAsia="仿宋_GB2312" w:cs="仿宋_GB2312"/>
          <w:color w:val="auto"/>
          <w:sz w:val="32"/>
          <w:szCs w:val="32"/>
          <w:lang w:val="en-US" w:eastAsia="zh-CN"/>
        </w:rPr>
        <w:t>南疆高校大学生马克思主义信仰的优化路径研究</w:t>
      </w:r>
    </w:p>
    <w:p w14:paraId="188DF5D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b/>
          <w:bCs/>
          <w:sz w:val="32"/>
          <w:szCs w:val="32"/>
          <w:lang w:val="en-US" w:eastAsia="zh-CN"/>
        </w:rPr>
      </w:pPr>
      <w:r>
        <w:rPr>
          <w:rFonts w:hint="eastAsia" w:ascii="仿宋_GB2312" w:hAnsi="仿宋_GB2312" w:eastAsia="仿宋_GB2312" w:cs="仿宋_GB2312"/>
          <w:color w:val="auto"/>
          <w:sz w:val="32"/>
          <w:szCs w:val="32"/>
          <w:lang w:val="en-US" w:eastAsia="zh-CN"/>
        </w:rPr>
        <w:t>3.</w:t>
      </w:r>
      <w:r>
        <w:rPr>
          <w:rFonts w:hint="default" w:ascii="仿宋_GB2312" w:hAnsi="仿宋_GB2312" w:eastAsia="仿宋_GB2312" w:cs="仿宋_GB2312"/>
          <w:color w:val="auto"/>
          <w:sz w:val="32"/>
          <w:szCs w:val="32"/>
          <w:lang w:val="en-US" w:eastAsia="zh-CN"/>
        </w:rPr>
        <w:t>新时代南疆现代文明发展的理论逻辑、核心维度与实践路径研究</w:t>
      </w:r>
    </w:p>
    <w:p w14:paraId="1236409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b/>
          <w:bCs/>
          <w:sz w:val="32"/>
          <w:szCs w:val="32"/>
          <w:lang w:val="en-US" w:eastAsia="zh-CN"/>
        </w:rPr>
      </w:pPr>
      <w:r>
        <w:rPr>
          <w:rFonts w:hint="eastAsia" w:ascii="仿宋_GB2312" w:hAnsi="仿宋_GB2312" w:eastAsia="仿宋_GB2312" w:cs="仿宋_GB2312"/>
          <w:color w:val="auto"/>
          <w:sz w:val="32"/>
          <w:szCs w:val="32"/>
          <w:lang w:val="en-US" w:eastAsia="zh-CN"/>
        </w:rPr>
        <w:t>4.</w:t>
      </w:r>
      <w:r>
        <w:rPr>
          <w:rFonts w:hint="default" w:ascii="仿宋_GB2312" w:hAnsi="仿宋_GB2312" w:eastAsia="仿宋_GB2312" w:cs="仿宋_GB2312"/>
          <w:color w:val="auto"/>
          <w:sz w:val="32"/>
          <w:szCs w:val="32"/>
          <w:lang w:val="en-US" w:eastAsia="zh-CN"/>
        </w:rPr>
        <w:t>农业新质生产力赋能南疆农民增收：理论机制与实践检验</w:t>
      </w:r>
    </w:p>
    <w:p w14:paraId="618CFEC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b/>
          <w:bCs/>
          <w:sz w:val="32"/>
          <w:szCs w:val="32"/>
          <w:lang w:val="en-US" w:eastAsia="zh-CN"/>
        </w:rPr>
      </w:pPr>
      <w:r>
        <w:rPr>
          <w:rFonts w:hint="eastAsia" w:ascii="仿宋_GB2312" w:hAnsi="仿宋_GB2312" w:eastAsia="仿宋_GB2312" w:cs="仿宋_GB2312"/>
          <w:color w:val="auto"/>
          <w:sz w:val="32"/>
          <w:szCs w:val="32"/>
          <w:lang w:val="en-US" w:eastAsia="zh-CN"/>
        </w:rPr>
        <w:t>5.</w:t>
      </w:r>
      <w:r>
        <w:rPr>
          <w:rFonts w:hint="default" w:ascii="仿宋_GB2312" w:hAnsi="仿宋_GB2312" w:eastAsia="仿宋_GB2312" w:cs="仿宋_GB2312"/>
          <w:color w:val="auto"/>
          <w:sz w:val="32"/>
          <w:szCs w:val="32"/>
          <w:lang w:val="en-US" w:eastAsia="zh"/>
        </w:rPr>
        <w:t>全过程人民民主视域下南疆民族互嵌社区治理创新研究</w:t>
      </w:r>
    </w:p>
    <w:p w14:paraId="31392D3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6.</w:t>
      </w:r>
      <w:r>
        <w:rPr>
          <w:rFonts w:hint="default" w:ascii="仿宋_GB2312" w:hAnsi="仿宋_GB2312" w:eastAsia="仿宋_GB2312" w:cs="仿宋_GB2312"/>
          <w:color w:val="auto"/>
          <w:sz w:val="32"/>
          <w:szCs w:val="32"/>
          <w:lang w:val="en-US" w:eastAsia="zh"/>
        </w:rPr>
        <w:t>集体记忆、地方叙事与共同体形塑：柯柯牙精神的当代转化及其对铸牢中华民族共同体意识的启示研究</w:t>
      </w:r>
    </w:p>
    <w:p w14:paraId="727878E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7.</w:t>
      </w:r>
      <w:r>
        <w:rPr>
          <w:rFonts w:hint="default" w:ascii="仿宋_GB2312" w:hAnsi="仿宋_GB2312" w:eastAsia="仿宋_GB2312" w:cs="仿宋_GB2312"/>
          <w:color w:val="auto"/>
          <w:sz w:val="32"/>
          <w:szCs w:val="32"/>
          <w:lang w:val="en-US" w:eastAsia="zh"/>
        </w:rPr>
        <w:t>南疆地区民族语言文献中“三交”史料的深度挖掘与数字化平台建设</w:t>
      </w:r>
    </w:p>
    <w:p w14:paraId="1CB220A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8.</w:t>
      </w:r>
      <w:r>
        <w:rPr>
          <w:rFonts w:hint="default" w:ascii="仿宋_GB2312" w:hAnsi="仿宋_GB2312" w:eastAsia="仿宋_GB2312" w:cs="仿宋_GB2312"/>
          <w:color w:val="auto"/>
          <w:sz w:val="32"/>
          <w:szCs w:val="32"/>
          <w:lang w:val="en-US" w:eastAsia="zh"/>
        </w:rPr>
        <w:t>新时代南疆青少年主流价值认同调查研究</w:t>
      </w:r>
    </w:p>
    <w:p w14:paraId="2AF47D7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9.</w:t>
      </w:r>
      <w:r>
        <w:rPr>
          <w:rFonts w:hint="default" w:ascii="仿宋_GB2312" w:hAnsi="仿宋_GB2312" w:eastAsia="仿宋_GB2312" w:cs="仿宋_GB2312"/>
          <w:color w:val="auto"/>
          <w:sz w:val="32"/>
          <w:szCs w:val="32"/>
          <w:lang w:val="en-US" w:eastAsia="zh"/>
        </w:rPr>
        <w:t>以铸牢中华民族共同体意识为主线深入开展对口援疆工作进路的多维建构</w:t>
      </w:r>
      <w:r>
        <w:rPr>
          <w:rFonts w:hint="eastAsia" w:ascii="仿宋_GB2312" w:hAnsi="仿宋_GB2312" w:eastAsia="仿宋_GB2312" w:cs="仿宋_GB2312"/>
          <w:color w:val="auto"/>
          <w:sz w:val="32"/>
          <w:szCs w:val="32"/>
          <w:lang w:val="en-US" w:eastAsia="zh-CN"/>
        </w:rPr>
        <w:t>研究</w:t>
      </w:r>
    </w:p>
    <w:p w14:paraId="3A3E8A7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10.</w:t>
      </w:r>
      <w:r>
        <w:rPr>
          <w:rFonts w:hint="default" w:ascii="仿宋_GB2312" w:hAnsi="仿宋_GB2312" w:eastAsia="仿宋_GB2312" w:cs="仿宋_GB2312"/>
          <w:color w:val="auto"/>
          <w:sz w:val="32"/>
          <w:szCs w:val="32"/>
          <w:lang w:val="en-US" w:eastAsia="zh"/>
        </w:rPr>
        <w:t>南疆铸牢中华民族共同体意识理论创新与实践研究</w:t>
      </w:r>
    </w:p>
    <w:p w14:paraId="4DBE7AA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b/>
          <w:bCs/>
          <w:sz w:val="32"/>
          <w:szCs w:val="32"/>
          <w:lang w:val="en-US" w:eastAsia="zh-CN"/>
        </w:rPr>
      </w:pPr>
      <w:r>
        <w:rPr>
          <w:rFonts w:hint="eastAsia" w:ascii="仿宋_GB2312" w:hAnsi="仿宋_GB2312" w:eastAsia="仿宋_GB2312" w:cs="仿宋_GB2312"/>
          <w:color w:val="auto"/>
          <w:sz w:val="32"/>
          <w:szCs w:val="32"/>
          <w:lang w:val="en-US" w:eastAsia="zh-CN"/>
        </w:rPr>
        <w:t>11.</w:t>
      </w:r>
      <w:r>
        <w:rPr>
          <w:rFonts w:hint="default" w:ascii="仿宋_GB2312" w:hAnsi="仿宋_GB2312" w:eastAsia="仿宋_GB2312" w:cs="仿宋_GB2312"/>
          <w:color w:val="auto"/>
          <w:sz w:val="32"/>
          <w:szCs w:val="32"/>
          <w:lang w:val="en-US" w:eastAsia="zh"/>
        </w:rPr>
        <w:t>南疆青少年胡杨精神培育研究</w:t>
      </w:r>
    </w:p>
    <w:p w14:paraId="12B1B6F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黑体" w:hAnsi="黑体" w:eastAsia="黑体"/>
          <w:b/>
          <w:sz w:val="32"/>
          <w:szCs w:val="32"/>
          <w:lang w:val="en-US" w:eastAsia="zh-CN"/>
        </w:rPr>
      </w:pPr>
      <w:r>
        <w:rPr>
          <w:rFonts w:hint="eastAsia" w:ascii="仿宋_GB2312" w:hAnsi="仿宋_GB2312" w:eastAsia="仿宋_GB2312" w:cs="仿宋_GB2312"/>
          <w:color w:val="auto"/>
          <w:sz w:val="32"/>
          <w:szCs w:val="32"/>
          <w:lang w:val="en-US" w:eastAsia="zh-CN"/>
        </w:rPr>
        <w:t>12.</w:t>
      </w:r>
      <w:r>
        <w:rPr>
          <w:rFonts w:hint="default" w:ascii="仿宋_GB2312" w:hAnsi="仿宋_GB2312" w:eastAsia="仿宋_GB2312" w:cs="仿宋_GB2312"/>
          <w:color w:val="auto"/>
          <w:sz w:val="32"/>
          <w:szCs w:val="32"/>
          <w:lang w:val="en-US" w:eastAsia="zh"/>
        </w:rPr>
        <w:t>南疆生态治理案例的国际化传播路径研究</w:t>
      </w:r>
    </w:p>
    <w:p w14:paraId="134AC89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bCs/>
          <w:sz w:val="32"/>
          <w:szCs w:val="32"/>
          <w:lang w:val="en-US" w:eastAsia="zh-CN"/>
        </w:rPr>
      </w:pPr>
      <w:r>
        <w:rPr>
          <w:rFonts w:hint="eastAsia" w:ascii="黑体" w:hAnsi="黑体" w:eastAsia="黑体"/>
          <w:b/>
          <w:sz w:val="32"/>
          <w:szCs w:val="32"/>
        </w:rPr>
        <w:t>二、一般</w:t>
      </w:r>
      <w:r>
        <w:rPr>
          <w:rFonts w:hint="eastAsia" w:ascii="黑体" w:hAnsi="黑体" w:eastAsia="黑体"/>
          <w:b/>
          <w:sz w:val="32"/>
          <w:szCs w:val="32"/>
          <w:lang w:eastAsia="zh-CN"/>
        </w:rPr>
        <w:t>课题（</w:t>
      </w:r>
      <w:r>
        <w:rPr>
          <w:rFonts w:hint="eastAsia" w:ascii="黑体" w:hAnsi="黑体" w:eastAsia="黑体"/>
          <w:b/>
          <w:sz w:val="32"/>
          <w:szCs w:val="32"/>
          <w:lang w:val="en-US" w:eastAsia="zh-CN"/>
        </w:rPr>
        <w:t>25</w:t>
      </w:r>
      <w:r>
        <w:rPr>
          <w:rFonts w:hint="eastAsia" w:ascii="黑体" w:hAnsi="黑体" w:eastAsia="黑体"/>
          <w:b/>
          <w:sz w:val="32"/>
          <w:szCs w:val="32"/>
          <w:lang w:eastAsia="zh-CN"/>
        </w:rPr>
        <w:t>）</w:t>
      </w:r>
    </w:p>
    <w:p w14:paraId="2CE1F9E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lang w:val="en-US" w:eastAsia="zh"/>
        </w:rPr>
      </w:pPr>
      <w:r>
        <w:rPr>
          <w:rFonts w:hint="eastAsia" w:ascii="仿宋_GB2312" w:hAnsi="仿宋_GB2312" w:eastAsia="仿宋_GB2312" w:cs="仿宋_GB2312"/>
          <w:color w:val="auto"/>
          <w:sz w:val="32"/>
          <w:szCs w:val="32"/>
          <w:lang w:val="en-US" w:eastAsia="zh-CN"/>
        </w:rPr>
        <w:t>1.</w:t>
      </w:r>
      <w:r>
        <w:rPr>
          <w:rFonts w:hint="default" w:ascii="仿宋_GB2312" w:hAnsi="仿宋_GB2312" w:eastAsia="仿宋_GB2312" w:cs="仿宋_GB2312"/>
          <w:color w:val="auto"/>
          <w:sz w:val="32"/>
          <w:szCs w:val="32"/>
          <w:lang w:val="en-US" w:eastAsia="zh"/>
        </w:rPr>
        <w:t>南疆少数民族婚姻家庭法律问题研究</w:t>
      </w:r>
    </w:p>
    <w:p w14:paraId="02D4998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lang w:val="en-US" w:eastAsia="zh"/>
        </w:rPr>
      </w:pPr>
      <w:r>
        <w:rPr>
          <w:rFonts w:hint="eastAsia" w:ascii="仿宋_GB2312" w:hAnsi="仿宋_GB2312" w:eastAsia="仿宋_GB2312" w:cs="仿宋_GB2312"/>
          <w:color w:val="auto"/>
          <w:sz w:val="32"/>
          <w:szCs w:val="32"/>
          <w:lang w:val="en-US" w:eastAsia="zh-CN"/>
        </w:rPr>
        <w:t>2.</w:t>
      </w:r>
      <w:r>
        <w:rPr>
          <w:rFonts w:hint="default" w:ascii="仿宋_GB2312" w:hAnsi="仿宋_GB2312" w:eastAsia="仿宋_GB2312" w:cs="仿宋_GB2312"/>
          <w:color w:val="auto"/>
          <w:sz w:val="32"/>
          <w:szCs w:val="32"/>
          <w:lang w:val="en-US" w:eastAsia="zh"/>
        </w:rPr>
        <w:t>吉尔吉斯斯坦主流媒体对新疆形象的建构研究</w:t>
      </w:r>
    </w:p>
    <w:p w14:paraId="18311D7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b/>
          <w:bCs/>
          <w:sz w:val="32"/>
          <w:szCs w:val="32"/>
          <w:lang w:val="en-US" w:eastAsia="zh-CN"/>
        </w:rPr>
      </w:pPr>
      <w:r>
        <w:rPr>
          <w:rFonts w:hint="eastAsia" w:ascii="仿宋_GB2312" w:hAnsi="仿宋_GB2312" w:eastAsia="仿宋_GB2312" w:cs="仿宋_GB2312"/>
          <w:color w:val="auto"/>
          <w:sz w:val="32"/>
          <w:szCs w:val="32"/>
          <w:lang w:val="en-US" w:eastAsia="zh-CN"/>
        </w:rPr>
        <w:t>3.</w:t>
      </w:r>
      <w:r>
        <w:rPr>
          <w:rFonts w:hint="default" w:ascii="仿宋_GB2312" w:hAnsi="仿宋_GB2312" w:eastAsia="仿宋_GB2312" w:cs="仿宋_GB2312"/>
          <w:color w:val="auto"/>
          <w:sz w:val="32"/>
          <w:szCs w:val="32"/>
          <w:lang w:val="en-US" w:eastAsia="zh"/>
        </w:rPr>
        <w:t>南疆兵地融合背景下“枫桥经验”在基层社会纠纷解决中的适用与推广研究</w:t>
      </w:r>
    </w:p>
    <w:p w14:paraId="4138368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lang w:val="en-US" w:eastAsia="zh"/>
        </w:rPr>
      </w:pPr>
      <w:r>
        <w:rPr>
          <w:rFonts w:hint="eastAsia" w:ascii="仿宋_GB2312" w:hAnsi="仿宋_GB2312" w:eastAsia="仿宋_GB2312" w:cs="仿宋_GB2312"/>
          <w:color w:val="auto"/>
          <w:sz w:val="32"/>
          <w:szCs w:val="32"/>
          <w:lang w:val="en-US" w:eastAsia="zh-CN"/>
        </w:rPr>
        <w:t>4.</w:t>
      </w:r>
      <w:r>
        <w:rPr>
          <w:rFonts w:hint="default" w:ascii="仿宋_GB2312" w:hAnsi="仿宋_GB2312" w:eastAsia="仿宋_GB2312" w:cs="仿宋_GB2312"/>
          <w:color w:val="auto"/>
          <w:sz w:val="32"/>
          <w:szCs w:val="32"/>
          <w:lang w:val="en-US" w:eastAsia="zh"/>
        </w:rPr>
        <w:t>文化润疆视角下南疆新时代文明实践中心建设研究</w:t>
      </w:r>
    </w:p>
    <w:p w14:paraId="640C155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lang w:val="en-US" w:eastAsia="zh"/>
        </w:rPr>
      </w:pPr>
      <w:r>
        <w:rPr>
          <w:rFonts w:hint="eastAsia" w:ascii="仿宋_GB2312" w:hAnsi="仿宋_GB2312" w:eastAsia="仿宋_GB2312" w:cs="仿宋_GB2312"/>
          <w:color w:val="auto"/>
          <w:sz w:val="32"/>
          <w:szCs w:val="32"/>
          <w:lang w:val="en-US" w:eastAsia="zh-CN"/>
        </w:rPr>
        <w:t>5.</w:t>
      </w:r>
      <w:r>
        <w:rPr>
          <w:rFonts w:hint="default" w:ascii="仿宋_GB2312" w:hAnsi="仿宋_GB2312" w:eastAsia="仿宋_GB2312" w:cs="仿宋_GB2312"/>
          <w:color w:val="auto"/>
          <w:sz w:val="32"/>
          <w:szCs w:val="32"/>
          <w:lang w:val="en-US" w:eastAsia="zh"/>
        </w:rPr>
        <w:t>南疆妇女现代文明素养提升路径研究</w:t>
      </w:r>
    </w:p>
    <w:p w14:paraId="63B4FAF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6.地方志助力南疆现代文明发展的路径研究</w:t>
      </w:r>
    </w:p>
    <w:p w14:paraId="5CC1AF1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b/>
          <w:bCs/>
          <w:sz w:val="32"/>
          <w:szCs w:val="32"/>
          <w:lang w:val="en-US" w:eastAsia="zh-CN"/>
        </w:rPr>
      </w:pPr>
      <w:r>
        <w:rPr>
          <w:rFonts w:hint="eastAsia" w:ascii="仿宋_GB2312" w:hAnsi="仿宋_GB2312" w:eastAsia="仿宋_GB2312" w:cs="仿宋_GB2312"/>
          <w:color w:val="auto"/>
          <w:sz w:val="32"/>
          <w:szCs w:val="32"/>
          <w:lang w:val="en-US" w:eastAsia="zh-CN"/>
        </w:rPr>
        <w:t>7.</w:t>
      </w:r>
      <w:r>
        <w:rPr>
          <w:rFonts w:hint="default" w:ascii="仿宋_GB2312" w:hAnsi="仿宋_GB2312" w:eastAsia="仿宋_GB2312" w:cs="仿宋_GB2312"/>
          <w:color w:val="auto"/>
          <w:sz w:val="32"/>
          <w:szCs w:val="32"/>
          <w:lang w:val="en-US" w:eastAsia="zh"/>
        </w:rPr>
        <w:t>乡村振兴背景下南疆传统节庆习俗与现代文明新风的适配路径研究</w:t>
      </w:r>
    </w:p>
    <w:p w14:paraId="0A1E47C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lang w:val="en-US" w:eastAsia="zh"/>
        </w:rPr>
      </w:pPr>
      <w:r>
        <w:rPr>
          <w:rFonts w:hint="eastAsia" w:ascii="仿宋_GB2312" w:hAnsi="仿宋_GB2312" w:eastAsia="仿宋_GB2312" w:cs="仿宋_GB2312"/>
          <w:color w:val="auto"/>
          <w:sz w:val="32"/>
          <w:szCs w:val="32"/>
          <w:lang w:val="en-US" w:eastAsia="zh-CN"/>
        </w:rPr>
        <w:t>8.</w:t>
      </w:r>
      <w:r>
        <w:rPr>
          <w:rFonts w:hint="default" w:ascii="仿宋_GB2312" w:hAnsi="仿宋_GB2312" w:eastAsia="仿宋_GB2312" w:cs="仿宋_GB2312"/>
          <w:color w:val="auto"/>
          <w:sz w:val="32"/>
          <w:szCs w:val="32"/>
          <w:lang w:val="en-US" w:eastAsia="zh"/>
        </w:rPr>
        <w:t>南疆复合型人才培养研究</w:t>
      </w:r>
    </w:p>
    <w:p w14:paraId="0312909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lang w:val="en-US" w:eastAsia="zh"/>
        </w:rPr>
      </w:pPr>
      <w:r>
        <w:rPr>
          <w:rFonts w:hint="eastAsia" w:ascii="仿宋_GB2312" w:hAnsi="仿宋_GB2312" w:eastAsia="仿宋_GB2312" w:cs="仿宋_GB2312"/>
          <w:color w:val="auto"/>
          <w:sz w:val="32"/>
          <w:szCs w:val="32"/>
          <w:lang w:val="en-US" w:eastAsia="zh-CN"/>
        </w:rPr>
        <w:t>9.</w:t>
      </w:r>
      <w:r>
        <w:rPr>
          <w:rFonts w:hint="default" w:ascii="仿宋_GB2312" w:hAnsi="仿宋_GB2312" w:eastAsia="仿宋_GB2312" w:cs="仿宋_GB2312"/>
          <w:color w:val="auto"/>
          <w:sz w:val="32"/>
          <w:szCs w:val="32"/>
          <w:lang w:val="en-US" w:eastAsia="zh"/>
        </w:rPr>
        <w:t>新质生产力推动南疆产业集群“双循环”新格局的理论机理与实践路径研究</w:t>
      </w:r>
    </w:p>
    <w:p w14:paraId="17A831F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lang w:val="en-US" w:eastAsia="zh"/>
        </w:rPr>
      </w:pPr>
      <w:r>
        <w:rPr>
          <w:rFonts w:hint="eastAsia" w:ascii="仿宋_GB2312" w:hAnsi="仿宋_GB2312" w:eastAsia="仿宋_GB2312" w:cs="仿宋_GB2312"/>
          <w:color w:val="auto"/>
          <w:sz w:val="32"/>
          <w:szCs w:val="32"/>
          <w:lang w:val="en-US" w:eastAsia="zh-CN"/>
        </w:rPr>
        <w:t>10.</w:t>
      </w:r>
      <w:r>
        <w:rPr>
          <w:rFonts w:hint="default" w:ascii="仿宋_GB2312" w:hAnsi="仿宋_GB2312" w:eastAsia="仿宋_GB2312" w:cs="仿宋_GB2312"/>
          <w:color w:val="auto"/>
          <w:sz w:val="32"/>
          <w:szCs w:val="32"/>
          <w:lang w:val="en-US" w:eastAsia="zh"/>
        </w:rPr>
        <w:t>新质生产力引领下南疆人工林生态资产增值机制与路径研究</w:t>
      </w:r>
    </w:p>
    <w:p w14:paraId="606C887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b/>
          <w:bCs/>
          <w:sz w:val="32"/>
          <w:szCs w:val="32"/>
          <w:lang w:val="en-US" w:eastAsia="zh-CN"/>
        </w:rPr>
      </w:pPr>
      <w:r>
        <w:rPr>
          <w:rFonts w:hint="eastAsia" w:ascii="仿宋_GB2312" w:hAnsi="仿宋_GB2312" w:eastAsia="仿宋_GB2312" w:cs="仿宋_GB2312"/>
          <w:color w:val="auto"/>
          <w:sz w:val="32"/>
          <w:szCs w:val="32"/>
          <w:lang w:val="en-US" w:eastAsia="zh-CN"/>
        </w:rPr>
        <w:t>11.</w:t>
      </w:r>
      <w:r>
        <w:rPr>
          <w:rFonts w:hint="default" w:ascii="仿宋_GB2312" w:hAnsi="仿宋_GB2312" w:eastAsia="仿宋_GB2312" w:cs="仿宋_GB2312"/>
          <w:color w:val="auto"/>
          <w:sz w:val="32"/>
          <w:szCs w:val="32"/>
          <w:lang w:val="en-US" w:eastAsia="zh"/>
        </w:rPr>
        <w:t>数字化种植技术与传统种植模式融合案例研究</w:t>
      </w:r>
    </w:p>
    <w:p w14:paraId="5675D8A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b/>
          <w:bCs/>
          <w:sz w:val="32"/>
          <w:szCs w:val="32"/>
          <w:lang w:val="en-US" w:eastAsia="zh-CN"/>
        </w:rPr>
      </w:pPr>
      <w:r>
        <w:rPr>
          <w:rFonts w:hint="eastAsia" w:ascii="仿宋_GB2312" w:hAnsi="仿宋_GB2312" w:eastAsia="仿宋_GB2312" w:cs="仿宋_GB2312"/>
          <w:color w:val="auto"/>
          <w:sz w:val="32"/>
          <w:szCs w:val="32"/>
          <w:lang w:val="en-US" w:eastAsia="zh-CN"/>
        </w:rPr>
        <w:t>12.</w:t>
      </w:r>
      <w:r>
        <w:rPr>
          <w:rFonts w:hint="default" w:ascii="仿宋_GB2312" w:hAnsi="仿宋_GB2312" w:eastAsia="仿宋_GB2312" w:cs="仿宋_GB2312"/>
          <w:color w:val="auto"/>
          <w:sz w:val="32"/>
          <w:szCs w:val="32"/>
          <w:lang w:val="en-US" w:eastAsia="zh"/>
        </w:rPr>
        <w:t>南疆老旧小区改造过程中社区居民参与决策的全过程人民民主实践研究</w:t>
      </w:r>
    </w:p>
    <w:p w14:paraId="334A6E6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lang w:val="en-US" w:eastAsia="zh"/>
        </w:rPr>
      </w:pPr>
      <w:r>
        <w:rPr>
          <w:rFonts w:hint="eastAsia" w:ascii="仿宋_GB2312" w:hAnsi="仿宋_GB2312" w:eastAsia="仿宋_GB2312" w:cs="仿宋_GB2312"/>
          <w:color w:val="auto"/>
          <w:sz w:val="32"/>
          <w:szCs w:val="32"/>
          <w:lang w:val="en-US" w:eastAsia="zh-CN"/>
        </w:rPr>
        <w:t>13.</w:t>
      </w:r>
      <w:r>
        <w:rPr>
          <w:rFonts w:hint="default" w:ascii="仿宋_GB2312" w:hAnsi="仿宋_GB2312" w:eastAsia="仿宋_GB2312" w:cs="仿宋_GB2312"/>
          <w:color w:val="auto"/>
          <w:sz w:val="32"/>
          <w:szCs w:val="32"/>
          <w:lang w:val="en-US" w:eastAsia="zh"/>
        </w:rPr>
        <w:t>昆仑文化的中华民族共同体基因及其南疆治理转化研究</w:t>
      </w:r>
    </w:p>
    <w:p w14:paraId="248745D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lang w:val="en-US" w:eastAsia="zh"/>
        </w:rPr>
      </w:pPr>
      <w:r>
        <w:rPr>
          <w:rFonts w:hint="eastAsia" w:ascii="仿宋_GB2312" w:hAnsi="仿宋_GB2312" w:eastAsia="仿宋_GB2312" w:cs="仿宋_GB2312"/>
          <w:color w:val="auto"/>
          <w:sz w:val="32"/>
          <w:szCs w:val="32"/>
          <w:lang w:val="en-US" w:eastAsia="zh-CN"/>
        </w:rPr>
        <w:t>14.</w:t>
      </w:r>
      <w:r>
        <w:rPr>
          <w:rFonts w:hint="default" w:ascii="仿宋_GB2312" w:hAnsi="仿宋_GB2312" w:eastAsia="仿宋_GB2312" w:cs="仿宋_GB2312"/>
          <w:color w:val="auto"/>
          <w:sz w:val="32"/>
          <w:szCs w:val="32"/>
          <w:lang w:val="en-US" w:eastAsia="zh"/>
        </w:rPr>
        <w:t>莫尔寺遗址的中华民族共同体文化元素研究</w:t>
      </w:r>
    </w:p>
    <w:p w14:paraId="01F63CC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lang w:val="en-US" w:eastAsia="zh"/>
        </w:rPr>
      </w:pPr>
      <w:r>
        <w:rPr>
          <w:rFonts w:hint="eastAsia" w:ascii="仿宋_GB2312" w:hAnsi="仿宋_GB2312" w:eastAsia="仿宋_GB2312" w:cs="仿宋_GB2312"/>
          <w:color w:val="auto"/>
          <w:sz w:val="32"/>
          <w:szCs w:val="32"/>
          <w:lang w:val="en-US" w:eastAsia="zh-CN"/>
        </w:rPr>
        <w:t>15.</w:t>
      </w:r>
      <w:r>
        <w:rPr>
          <w:rFonts w:hint="default" w:ascii="仿宋_GB2312" w:hAnsi="仿宋_GB2312" w:eastAsia="仿宋_GB2312" w:cs="仿宋_GB2312"/>
          <w:color w:val="auto"/>
          <w:sz w:val="32"/>
          <w:szCs w:val="32"/>
          <w:lang w:val="en-US" w:eastAsia="zh"/>
        </w:rPr>
        <w:t>文化润疆视域下红色文化资源挖掘与利用研究</w:t>
      </w:r>
    </w:p>
    <w:p w14:paraId="1F28A54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lang w:val="en-US" w:eastAsia="zh"/>
        </w:rPr>
      </w:pPr>
      <w:r>
        <w:rPr>
          <w:rFonts w:hint="eastAsia" w:ascii="仿宋_GB2312" w:hAnsi="仿宋_GB2312" w:eastAsia="仿宋_GB2312" w:cs="仿宋_GB2312"/>
          <w:color w:val="auto"/>
          <w:sz w:val="32"/>
          <w:szCs w:val="32"/>
          <w:lang w:val="en-US" w:eastAsia="zh-CN"/>
        </w:rPr>
        <w:t>16.</w:t>
      </w:r>
      <w:r>
        <w:rPr>
          <w:rFonts w:hint="default" w:ascii="仿宋_GB2312" w:hAnsi="仿宋_GB2312" w:eastAsia="仿宋_GB2312" w:cs="仿宋_GB2312"/>
          <w:color w:val="auto"/>
          <w:sz w:val="32"/>
          <w:szCs w:val="32"/>
          <w:lang w:val="en-US" w:eastAsia="zh"/>
        </w:rPr>
        <w:t>红色资源赋能南疆现代文明建设的路径研究</w:t>
      </w:r>
    </w:p>
    <w:p w14:paraId="553BE4E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lang w:val="en-US" w:eastAsia="zh"/>
        </w:rPr>
      </w:pPr>
      <w:r>
        <w:rPr>
          <w:rFonts w:hint="eastAsia" w:ascii="仿宋_GB2312" w:hAnsi="仿宋_GB2312" w:eastAsia="仿宋_GB2312" w:cs="仿宋_GB2312"/>
          <w:color w:val="auto"/>
          <w:sz w:val="32"/>
          <w:szCs w:val="32"/>
          <w:lang w:val="en-US" w:eastAsia="zh-CN"/>
        </w:rPr>
        <w:t>17.</w:t>
      </w:r>
      <w:r>
        <w:rPr>
          <w:rFonts w:hint="default" w:ascii="仿宋_GB2312" w:hAnsi="仿宋_GB2312" w:eastAsia="仿宋_GB2312" w:cs="仿宋_GB2312"/>
          <w:color w:val="auto"/>
          <w:sz w:val="32"/>
          <w:szCs w:val="32"/>
          <w:lang w:val="en-US" w:eastAsia="zh"/>
        </w:rPr>
        <w:t>南疆屯垦历史与中华民族共同体意识凝聚研究</w:t>
      </w:r>
    </w:p>
    <w:p w14:paraId="5DD83FD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lang w:val="en-US" w:eastAsia="zh"/>
        </w:rPr>
      </w:pPr>
      <w:r>
        <w:rPr>
          <w:rFonts w:hint="eastAsia" w:ascii="仿宋_GB2312" w:hAnsi="仿宋_GB2312" w:eastAsia="仿宋_GB2312" w:cs="仿宋_GB2312"/>
          <w:color w:val="auto"/>
          <w:sz w:val="32"/>
          <w:szCs w:val="32"/>
          <w:lang w:val="en-US" w:eastAsia="zh-CN"/>
        </w:rPr>
        <w:t>18.</w:t>
      </w:r>
      <w:r>
        <w:rPr>
          <w:rFonts w:hint="default" w:ascii="仿宋_GB2312" w:hAnsi="仿宋_GB2312" w:eastAsia="仿宋_GB2312" w:cs="仿宋_GB2312"/>
          <w:color w:val="auto"/>
          <w:sz w:val="32"/>
          <w:szCs w:val="32"/>
          <w:lang w:val="en-US" w:eastAsia="zh"/>
        </w:rPr>
        <w:t>乡村振兴视域下南疆农村铸牢中华民族共同体意识对策研究</w:t>
      </w:r>
    </w:p>
    <w:p w14:paraId="3193982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b/>
          <w:bCs/>
          <w:sz w:val="32"/>
          <w:szCs w:val="32"/>
          <w:lang w:val="en-US" w:eastAsia="zh-CN"/>
        </w:rPr>
      </w:pPr>
      <w:r>
        <w:rPr>
          <w:rFonts w:hint="eastAsia" w:ascii="仿宋_GB2312" w:hAnsi="仿宋_GB2312" w:eastAsia="仿宋_GB2312" w:cs="仿宋_GB2312"/>
          <w:color w:val="auto"/>
          <w:sz w:val="32"/>
          <w:szCs w:val="32"/>
          <w:lang w:val="en-US" w:eastAsia="zh-CN"/>
        </w:rPr>
        <w:t>19.</w:t>
      </w:r>
      <w:r>
        <w:rPr>
          <w:rFonts w:hint="default" w:ascii="仿宋_GB2312" w:hAnsi="仿宋_GB2312" w:eastAsia="仿宋_GB2312" w:cs="仿宋_GB2312"/>
          <w:color w:val="auto"/>
          <w:sz w:val="32"/>
          <w:szCs w:val="32"/>
          <w:lang w:val="en-US" w:eastAsia="zh"/>
        </w:rPr>
        <w:t>南疆多民族传统美术符号在铸牢中华民族共同体意识中的价值与路径研究</w:t>
      </w:r>
    </w:p>
    <w:p w14:paraId="3CA8028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lang w:val="en-US" w:eastAsia="zh"/>
        </w:rPr>
      </w:pPr>
      <w:r>
        <w:rPr>
          <w:rFonts w:hint="eastAsia" w:ascii="仿宋_GB2312" w:hAnsi="仿宋_GB2312" w:eastAsia="仿宋_GB2312" w:cs="仿宋_GB2312"/>
          <w:color w:val="auto"/>
          <w:sz w:val="32"/>
          <w:szCs w:val="32"/>
          <w:lang w:val="en-US" w:eastAsia="zh-CN"/>
        </w:rPr>
        <w:t>20.</w:t>
      </w:r>
      <w:r>
        <w:rPr>
          <w:rFonts w:hint="default" w:ascii="仿宋_GB2312" w:hAnsi="仿宋_GB2312" w:eastAsia="仿宋_GB2312" w:cs="仿宋_GB2312"/>
          <w:color w:val="auto"/>
          <w:sz w:val="32"/>
          <w:szCs w:val="32"/>
          <w:lang w:val="en-US" w:eastAsia="zh"/>
        </w:rPr>
        <w:t>“文化润疆”视域下“数字教育援疆”的创新模式与实践路径研究</w:t>
      </w:r>
    </w:p>
    <w:p w14:paraId="05C8E89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lang w:val="en-US" w:eastAsia="zh"/>
        </w:rPr>
      </w:pPr>
      <w:r>
        <w:rPr>
          <w:rFonts w:hint="eastAsia" w:ascii="仿宋_GB2312" w:hAnsi="仿宋_GB2312" w:eastAsia="仿宋_GB2312" w:cs="仿宋_GB2312"/>
          <w:color w:val="auto"/>
          <w:sz w:val="32"/>
          <w:szCs w:val="32"/>
          <w:lang w:val="en-US" w:eastAsia="zh-CN"/>
        </w:rPr>
        <w:t>21.</w:t>
      </w:r>
      <w:r>
        <w:rPr>
          <w:rFonts w:hint="default" w:ascii="仿宋_GB2312" w:hAnsi="仿宋_GB2312" w:eastAsia="仿宋_GB2312" w:cs="仿宋_GB2312"/>
          <w:color w:val="auto"/>
          <w:spacing w:val="-6"/>
          <w:sz w:val="32"/>
          <w:szCs w:val="32"/>
          <w:lang w:val="en-US" w:eastAsia="zh"/>
        </w:rPr>
        <w:t>南疆多民族聚居区民间文学资源的现代转化路径研究</w:t>
      </w:r>
    </w:p>
    <w:p w14:paraId="64DB560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b/>
          <w:bCs/>
          <w:sz w:val="32"/>
          <w:szCs w:val="32"/>
          <w:lang w:val="en-US" w:eastAsia="zh-CN"/>
        </w:rPr>
      </w:pPr>
      <w:r>
        <w:rPr>
          <w:rFonts w:hint="eastAsia" w:ascii="仿宋_GB2312" w:hAnsi="仿宋_GB2312" w:eastAsia="仿宋_GB2312" w:cs="仿宋_GB2312"/>
          <w:color w:val="auto"/>
          <w:sz w:val="32"/>
          <w:szCs w:val="32"/>
          <w:lang w:val="en-US" w:eastAsia="zh-CN"/>
        </w:rPr>
        <w:t>22.</w:t>
      </w:r>
      <w:r>
        <w:rPr>
          <w:rFonts w:hint="default" w:ascii="仿宋_GB2312" w:hAnsi="仿宋_GB2312" w:eastAsia="仿宋_GB2312" w:cs="仿宋_GB2312"/>
          <w:color w:val="auto"/>
          <w:sz w:val="32"/>
          <w:szCs w:val="32"/>
          <w:lang w:val="en-US" w:eastAsia="zh"/>
        </w:rPr>
        <w:t>银</w:t>
      </w:r>
      <w:r>
        <w:rPr>
          <w:rFonts w:hint="eastAsia" w:ascii="仿宋_GB2312" w:hAnsi="仿宋_GB2312" w:eastAsia="仿宋_GB2312" w:cs="仿宋_GB2312"/>
          <w:color w:val="auto"/>
          <w:sz w:val="32"/>
          <w:szCs w:val="32"/>
          <w:lang w:val="en-US" w:eastAsia="zh-CN"/>
        </w:rPr>
        <w:t>龄</w:t>
      </w:r>
      <w:bookmarkStart w:id="0" w:name="_GoBack"/>
      <w:bookmarkEnd w:id="0"/>
      <w:r>
        <w:rPr>
          <w:rFonts w:hint="default" w:ascii="仿宋_GB2312" w:hAnsi="仿宋_GB2312" w:eastAsia="仿宋_GB2312" w:cs="仿宋_GB2312"/>
          <w:color w:val="auto"/>
          <w:sz w:val="32"/>
          <w:szCs w:val="32"/>
          <w:lang w:val="en-US" w:eastAsia="zh"/>
        </w:rPr>
        <w:t>教师助力南疆高校师资队伍建设的价值、困境及路径研究</w:t>
      </w:r>
    </w:p>
    <w:p w14:paraId="0EACEAD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lang w:val="en-US" w:eastAsia="zh"/>
        </w:rPr>
      </w:pPr>
      <w:r>
        <w:rPr>
          <w:rFonts w:hint="eastAsia" w:ascii="仿宋_GB2312" w:hAnsi="仿宋_GB2312" w:eastAsia="仿宋_GB2312" w:cs="仿宋_GB2312"/>
          <w:color w:val="auto"/>
          <w:sz w:val="32"/>
          <w:szCs w:val="32"/>
          <w:lang w:val="en-US" w:eastAsia="zh-CN"/>
        </w:rPr>
        <w:t>23.</w:t>
      </w:r>
      <w:r>
        <w:rPr>
          <w:rFonts w:hint="default" w:ascii="仿宋_GB2312" w:hAnsi="仿宋_GB2312" w:eastAsia="仿宋_GB2312" w:cs="仿宋_GB2312"/>
          <w:color w:val="auto"/>
          <w:sz w:val="32"/>
          <w:szCs w:val="32"/>
          <w:lang w:val="en-US" w:eastAsia="zh"/>
        </w:rPr>
        <w:t>柯柯牙精神融入南疆铸牢中华民族共同体意识研究</w:t>
      </w:r>
    </w:p>
    <w:p w14:paraId="2D4EC0B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lang w:val="en-US" w:eastAsia="zh"/>
        </w:rPr>
      </w:pPr>
      <w:r>
        <w:rPr>
          <w:rFonts w:hint="eastAsia" w:ascii="仿宋_GB2312" w:hAnsi="仿宋_GB2312" w:eastAsia="仿宋_GB2312" w:cs="仿宋_GB2312"/>
          <w:color w:val="auto"/>
          <w:sz w:val="32"/>
          <w:szCs w:val="32"/>
          <w:lang w:val="en-US" w:eastAsia="zh-CN"/>
        </w:rPr>
        <w:t>24.</w:t>
      </w:r>
      <w:r>
        <w:rPr>
          <w:rFonts w:hint="default" w:ascii="仿宋_GB2312" w:hAnsi="仿宋_GB2312" w:eastAsia="仿宋_GB2312" w:cs="仿宋_GB2312"/>
          <w:color w:val="auto"/>
          <w:sz w:val="32"/>
          <w:szCs w:val="32"/>
          <w:lang w:val="en-US" w:eastAsia="zh"/>
        </w:rPr>
        <w:t>柯柯牙精神传播的智媒化途径研究</w:t>
      </w:r>
    </w:p>
    <w:p w14:paraId="7B00B48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25.</w:t>
      </w:r>
      <w:r>
        <w:rPr>
          <w:rFonts w:hint="default" w:ascii="仿宋_GB2312" w:hAnsi="仿宋_GB2312" w:eastAsia="仿宋_GB2312" w:cs="仿宋_GB2312"/>
          <w:color w:val="auto"/>
          <w:sz w:val="32"/>
          <w:szCs w:val="32"/>
          <w:lang w:val="en-US" w:eastAsia="zh"/>
        </w:rPr>
        <w:t>数字孪生技术赋能柯柯牙精神生成逻辑的可视化重构与文化传播研究</w:t>
      </w: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7A37321-E4CC-4714-B46B-3E0762CE069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embedRegular r:id="rId2" w:fontKey="{AF2E208E-6138-4E34-9846-01D6534E59D3}"/>
  </w:font>
  <w:font w:name="方正小标宋简体">
    <w:panose1 w:val="03000509000000000000"/>
    <w:charset w:val="86"/>
    <w:family w:val="auto"/>
    <w:pitch w:val="default"/>
    <w:sig w:usb0="00000001" w:usb1="080E0000" w:usb2="00000000" w:usb3="00000000" w:csb0="00040000" w:csb1="00000000"/>
    <w:embedRegular r:id="rId3" w:fontKey="{B02D6D17-65FB-4D3F-A7D8-99BCB833CBE0}"/>
  </w:font>
  <w:font w:name="楷体">
    <w:panose1 w:val="02010609060101010101"/>
    <w:charset w:val="86"/>
    <w:family w:val="auto"/>
    <w:pitch w:val="default"/>
    <w:sig w:usb0="800002BF" w:usb1="38CF7CFA" w:usb2="00000016" w:usb3="00000000" w:csb0="00040001" w:csb1="00000000"/>
    <w:embedRegular r:id="rId4" w:fontKey="{115A6482-26B4-47E5-8555-D0488BB76033}"/>
  </w:font>
  <w:font w:name="仿宋_GB2312">
    <w:panose1 w:val="02010609030101010101"/>
    <w:charset w:val="86"/>
    <w:family w:val="modern"/>
    <w:pitch w:val="default"/>
    <w:sig w:usb0="00000001" w:usb1="080E0000" w:usb2="00000000" w:usb3="00000000" w:csb0="00040000" w:csb1="00000000"/>
    <w:embedRegular r:id="rId5" w:fontKey="{8872BFCD-1D3E-45C8-90EA-7A1484C4E54B}"/>
  </w:font>
  <w:font w:name="仿宋">
    <w:panose1 w:val="02010609060101010101"/>
    <w:charset w:val="86"/>
    <w:family w:val="auto"/>
    <w:pitch w:val="default"/>
    <w:sig w:usb0="800002BF" w:usb1="38CF7CFA" w:usb2="00000016" w:usb3="00000000" w:csb0="00040001" w:csb1="00000000"/>
    <w:embedRegular r:id="rId6" w:fontKey="{B12C3236-B953-4648-9EED-E3E4700B70E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43D2E8">
    <w:pPr>
      <w:pStyle w:val="4"/>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AF7544B">
                          <w:pPr>
                            <w:pStyle w:val="4"/>
                            <w:jc w:val="center"/>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   \* MERGEFORMAT </w:instrText>
                          </w:r>
                          <w:r>
                            <w:rPr>
                              <w:rFonts w:hint="eastAsia" w:ascii="仿宋" w:hAnsi="仿宋" w:eastAsia="仿宋" w:cs="仿宋"/>
                              <w:sz w:val="28"/>
                              <w:szCs w:val="28"/>
                            </w:rPr>
                            <w:fldChar w:fldCharType="separate"/>
                          </w:r>
                          <w:r>
                            <w:rPr>
                              <w:rFonts w:hint="eastAsia" w:ascii="仿宋" w:hAnsi="仿宋" w:eastAsia="仿宋" w:cs="仿宋"/>
                              <w:sz w:val="28"/>
                              <w:szCs w:val="28"/>
                              <w:lang w:val="zh-CN"/>
                            </w:rPr>
                            <w:t>6</w:t>
                          </w:r>
                          <w:r>
                            <w:rPr>
                              <w:rFonts w:hint="eastAsia" w:ascii="仿宋" w:hAnsi="仿宋" w:eastAsia="仿宋" w:cs="仿宋"/>
                              <w:sz w:val="28"/>
                              <w:szCs w:val="28"/>
                            </w:rPr>
                            <w:fldChar w:fldCharType="end"/>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pci88sBAACcAwAADgAAAGRycy9lMm9Eb2MueG1srVPNjtMwEL4j8Q6W&#10;79RpJ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rFTaDEcYsDv3z/dvnx6/LzK1lW&#10;q9dZoT5AjYkPAVPTcOeHnD35AZ2Z+KCizV+kRDCO+p6v+sohEZEfrVfrdYUhgbH5gjjs8XmIkN5K&#10;b0k2GhpxgEVXfnoPaUydU3I15++1MejntXF/ORAze1jufewxW2nYD1Pje9+ekU+Ps2+ow1WnxLxz&#10;KG1ek9mIs7GfjWOI+tCVPcr1INweEzZRessVRtipMA6tsJsWLG/Fn/eS9fhT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qXIvPLAQAAnAMAAA4AAAAAAAAAAQAgAAAAHgEAAGRycy9lMm9E&#10;b2MueG1sUEsFBgAAAAAGAAYAWQEAAFsFAAAAAA==&#10;">
              <v:fill on="f" focussize="0,0"/>
              <v:stroke on="f"/>
              <v:imagedata o:title=""/>
              <o:lock v:ext="edit" aspectratio="f"/>
              <v:textbox inset="0mm,0mm,0mm,0mm" style="mso-fit-shape-to-text:t;">
                <w:txbxContent>
                  <w:p w14:paraId="6AF7544B">
                    <w:pPr>
                      <w:pStyle w:val="4"/>
                      <w:jc w:val="center"/>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   \* MERGEFORMAT </w:instrText>
                    </w:r>
                    <w:r>
                      <w:rPr>
                        <w:rFonts w:hint="eastAsia" w:ascii="仿宋" w:hAnsi="仿宋" w:eastAsia="仿宋" w:cs="仿宋"/>
                        <w:sz w:val="28"/>
                        <w:szCs w:val="28"/>
                      </w:rPr>
                      <w:fldChar w:fldCharType="separate"/>
                    </w:r>
                    <w:r>
                      <w:rPr>
                        <w:rFonts w:hint="eastAsia" w:ascii="仿宋" w:hAnsi="仿宋" w:eastAsia="仿宋" w:cs="仿宋"/>
                        <w:sz w:val="28"/>
                        <w:szCs w:val="28"/>
                        <w:lang w:val="zh-CN"/>
                      </w:rPr>
                      <w:t>6</w:t>
                    </w:r>
                    <w:r>
                      <w:rPr>
                        <w:rFonts w:hint="eastAsia" w:ascii="仿宋" w:hAnsi="仿宋" w:eastAsia="仿宋" w:cs="仿宋"/>
                        <w:sz w:val="28"/>
                        <w:szCs w:val="28"/>
                      </w:rPr>
                      <w:fldChar w:fldCharType="end"/>
                    </w:r>
                  </w:p>
                </w:txbxContent>
              </v:textbox>
            </v:shape>
          </w:pict>
        </mc:Fallback>
      </mc:AlternateContent>
    </w:r>
  </w:p>
  <w:p w14:paraId="503814F1">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UwOGExY2Y2MWJmNDcyNzRhZThiMmMwYmZlN2NhZWQifQ=="/>
  </w:docVars>
  <w:rsids>
    <w:rsidRoot w:val="009D7AAD"/>
    <w:rsid w:val="0028569E"/>
    <w:rsid w:val="004661B3"/>
    <w:rsid w:val="00643D08"/>
    <w:rsid w:val="00766E25"/>
    <w:rsid w:val="0085160E"/>
    <w:rsid w:val="009775D4"/>
    <w:rsid w:val="009D7AAD"/>
    <w:rsid w:val="00AB2B39"/>
    <w:rsid w:val="00B26EFE"/>
    <w:rsid w:val="00B7647F"/>
    <w:rsid w:val="039225A0"/>
    <w:rsid w:val="039374E9"/>
    <w:rsid w:val="099553AB"/>
    <w:rsid w:val="0AAF56E0"/>
    <w:rsid w:val="0ACD24F7"/>
    <w:rsid w:val="10645539"/>
    <w:rsid w:val="16776FA8"/>
    <w:rsid w:val="16FF50A5"/>
    <w:rsid w:val="181D2A6B"/>
    <w:rsid w:val="1BEF5F1B"/>
    <w:rsid w:val="1F4B4C7B"/>
    <w:rsid w:val="23EDF345"/>
    <w:rsid w:val="24715AD1"/>
    <w:rsid w:val="27555859"/>
    <w:rsid w:val="293F709A"/>
    <w:rsid w:val="2A550017"/>
    <w:rsid w:val="2B710ACD"/>
    <w:rsid w:val="2BB3CB83"/>
    <w:rsid w:val="2C430E16"/>
    <w:rsid w:val="2F5DD501"/>
    <w:rsid w:val="303F0DB4"/>
    <w:rsid w:val="308C0BF3"/>
    <w:rsid w:val="32696ABF"/>
    <w:rsid w:val="33BD62DF"/>
    <w:rsid w:val="33EDCB0A"/>
    <w:rsid w:val="377EE0AD"/>
    <w:rsid w:val="37A73A71"/>
    <w:rsid w:val="37F6E8BA"/>
    <w:rsid w:val="39E7A7D1"/>
    <w:rsid w:val="3EBD8F32"/>
    <w:rsid w:val="3F5F6435"/>
    <w:rsid w:val="3F7B7EEE"/>
    <w:rsid w:val="3F7F9C26"/>
    <w:rsid w:val="3F8FE69E"/>
    <w:rsid w:val="3FF8EE3E"/>
    <w:rsid w:val="3FFD424C"/>
    <w:rsid w:val="3FFEA077"/>
    <w:rsid w:val="41143A56"/>
    <w:rsid w:val="430C63AA"/>
    <w:rsid w:val="43F86AB2"/>
    <w:rsid w:val="443E286A"/>
    <w:rsid w:val="4C8F5456"/>
    <w:rsid w:val="4DEF51E9"/>
    <w:rsid w:val="4F7F46C7"/>
    <w:rsid w:val="4FF8F962"/>
    <w:rsid w:val="525568A2"/>
    <w:rsid w:val="53DB4B3F"/>
    <w:rsid w:val="553903DF"/>
    <w:rsid w:val="57FD217E"/>
    <w:rsid w:val="5919335D"/>
    <w:rsid w:val="5B3BA7D2"/>
    <w:rsid w:val="5CE9320C"/>
    <w:rsid w:val="5D53BAB6"/>
    <w:rsid w:val="5DFD8E8D"/>
    <w:rsid w:val="5E7F89C9"/>
    <w:rsid w:val="5EDB693F"/>
    <w:rsid w:val="5F7A5925"/>
    <w:rsid w:val="5FB74712"/>
    <w:rsid w:val="5FF3D1C9"/>
    <w:rsid w:val="5FFF2181"/>
    <w:rsid w:val="607A735C"/>
    <w:rsid w:val="63FDE225"/>
    <w:rsid w:val="6564F9F6"/>
    <w:rsid w:val="67BF6C47"/>
    <w:rsid w:val="6844781F"/>
    <w:rsid w:val="688F76E5"/>
    <w:rsid w:val="6B8129E9"/>
    <w:rsid w:val="6BE5416A"/>
    <w:rsid w:val="6D951E0B"/>
    <w:rsid w:val="6DCC2155"/>
    <w:rsid w:val="6E3A5A5C"/>
    <w:rsid w:val="6EF7C279"/>
    <w:rsid w:val="6FAB0E2B"/>
    <w:rsid w:val="6FEE79DF"/>
    <w:rsid w:val="745FD2D8"/>
    <w:rsid w:val="74EA035B"/>
    <w:rsid w:val="75B7FE60"/>
    <w:rsid w:val="75CE8864"/>
    <w:rsid w:val="75D13217"/>
    <w:rsid w:val="76510D70"/>
    <w:rsid w:val="76BE2DDE"/>
    <w:rsid w:val="776A1352"/>
    <w:rsid w:val="777BA76E"/>
    <w:rsid w:val="77AE47F9"/>
    <w:rsid w:val="77DC25D7"/>
    <w:rsid w:val="77FD6DD6"/>
    <w:rsid w:val="78AD7AB2"/>
    <w:rsid w:val="7B1B3648"/>
    <w:rsid w:val="7CBAF3BB"/>
    <w:rsid w:val="7DE93BAD"/>
    <w:rsid w:val="7DF75873"/>
    <w:rsid w:val="7E7F1B6D"/>
    <w:rsid w:val="7EB68C21"/>
    <w:rsid w:val="7EBFB6D8"/>
    <w:rsid w:val="7EEF37C3"/>
    <w:rsid w:val="7EF4547B"/>
    <w:rsid w:val="7EFF44E0"/>
    <w:rsid w:val="7EFFC4FE"/>
    <w:rsid w:val="7F1BDD9D"/>
    <w:rsid w:val="7F4F2713"/>
    <w:rsid w:val="7F7783A7"/>
    <w:rsid w:val="7F7E11CC"/>
    <w:rsid w:val="7FB7C98A"/>
    <w:rsid w:val="7FBB14D9"/>
    <w:rsid w:val="7FBFEBBF"/>
    <w:rsid w:val="7FD27A93"/>
    <w:rsid w:val="7FD65FBD"/>
    <w:rsid w:val="7FDB7458"/>
    <w:rsid w:val="7FE56194"/>
    <w:rsid w:val="7FFBAA36"/>
    <w:rsid w:val="7FFFEFF6"/>
    <w:rsid w:val="8FFF45CB"/>
    <w:rsid w:val="9D6DF5AD"/>
    <w:rsid w:val="9E9B190E"/>
    <w:rsid w:val="A5FF5455"/>
    <w:rsid w:val="A7EDE9B9"/>
    <w:rsid w:val="ABBF53E7"/>
    <w:rsid w:val="ABFC5584"/>
    <w:rsid w:val="AEFB376B"/>
    <w:rsid w:val="B36EA960"/>
    <w:rsid w:val="B78AA38F"/>
    <w:rsid w:val="B7FF0C82"/>
    <w:rsid w:val="B8532B7B"/>
    <w:rsid w:val="B9B570F7"/>
    <w:rsid w:val="BBABEDA9"/>
    <w:rsid w:val="BBEDE539"/>
    <w:rsid w:val="BBEE4410"/>
    <w:rsid w:val="BDCF3068"/>
    <w:rsid w:val="BDCF6D9E"/>
    <w:rsid w:val="BDEE3324"/>
    <w:rsid w:val="BE7C2251"/>
    <w:rsid w:val="C5DDF01F"/>
    <w:rsid w:val="C9BFF760"/>
    <w:rsid w:val="CFEF8990"/>
    <w:rsid w:val="D7AF2584"/>
    <w:rsid w:val="DBAC07D3"/>
    <w:rsid w:val="E3DFC367"/>
    <w:rsid w:val="E6F71803"/>
    <w:rsid w:val="E7C74B2C"/>
    <w:rsid w:val="E7EF7503"/>
    <w:rsid w:val="E7FE98EE"/>
    <w:rsid w:val="EB8BB7CC"/>
    <w:rsid w:val="ED776129"/>
    <w:rsid w:val="EDB305D4"/>
    <w:rsid w:val="EDDDF919"/>
    <w:rsid w:val="EE7F4F43"/>
    <w:rsid w:val="EEBD3CEB"/>
    <w:rsid w:val="EEFB5B2D"/>
    <w:rsid w:val="EFBF94F7"/>
    <w:rsid w:val="EFD7164C"/>
    <w:rsid w:val="EFFD66A2"/>
    <w:rsid w:val="F64FEAB4"/>
    <w:rsid w:val="F79BD0E2"/>
    <w:rsid w:val="F7BF58D8"/>
    <w:rsid w:val="F7F691E1"/>
    <w:rsid w:val="F7FFBFA4"/>
    <w:rsid w:val="FA3C9F56"/>
    <w:rsid w:val="FABBF0D2"/>
    <w:rsid w:val="FAEF8DAF"/>
    <w:rsid w:val="FAF38BFB"/>
    <w:rsid w:val="FAFF03FE"/>
    <w:rsid w:val="FAFFD2C7"/>
    <w:rsid w:val="FBD73216"/>
    <w:rsid w:val="FF3FCB4F"/>
    <w:rsid w:val="FF7E3ADA"/>
    <w:rsid w:val="FFA9DED5"/>
    <w:rsid w:val="FFCB72DA"/>
    <w:rsid w:val="FFCFA351"/>
    <w:rsid w:val="FFDE0574"/>
    <w:rsid w:val="FFF8304C"/>
    <w:rsid w:val="FFF9488A"/>
    <w:rsid w:val="FFFB3FDD"/>
    <w:rsid w:val="FFFF1129"/>
    <w:rsid w:val="FFFF7E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黑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qFormat/>
    <w:uiPriority w:val="0"/>
    <w:pPr>
      <w:ind w:firstLine="420" w:firstLineChars="100"/>
    </w:pPr>
  </w:style>
  <w:style w:type="paragraph" w:styleId="3">
    <w:name w:val="Body Text"/>
    <w:basedOn w:val="1"/>
    <w:unhideWhenUsed/>
    <w:qFormat/>
    <w:uiPriority w:val="0"/>
    <w:pPr>
      <w:spacing w:line="288" w:lineRule="auto"/>
      <w:ind w:firstLine="425"/>
    </w:pPr>
  </w:style>
  <w:style w:type="paragraph" w:styleId="4">
    <w:name w:val="footer"/>
    <w:basedOn w:val="1"/>
    <w:link w:val="10"/>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9"/>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table" w:styleId="7">
    <w:name w:val="Table Grid"/>
    <w:basedOn w:val="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页眉 Char"/>
    <w:basedOn w:val="8"/>
    <w:link w:val="5"/>
    <w:semiHidden/>
    <w:qFormat/>
    <w:uiPriority w:val="99"/>
    <w:rPr>
      <w:sz w:val="18"/>
      <w:szCs w:val="18"/>
    </w:rPr>
  </w:style>
  <w:style w:type="character" w:customStyle="1" w:styleId="10">
    <w:name w:val="页脚 Char"/>
    <w:basedOn w:val="8"/>
    <w:link w:val="4"/>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973</Words>
  <Characters>1031</Characters>
  <Lines>20</Lines>
  <Paragraphs>5</Paragraphs>
  <TotalTime>5</TotalTime>
  <ScaleCrop>false</ScaleCrop>
  <LinksUpToDate>false</LinksUpToDate>
  <CharactersWithSpaces>1031</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2020-09-26T10:52:00Z</dcterms:created>
  <dc:creator>康丽</dc:creator>
  <cp:lastModifiedBy>qzuser</cp:lastModifiedBy>
  <cp:lastPrinted>2021-07-27T18:17:00Z</cp:lastPrinted>
  <dcterms:modified xsi:type="dcterms:W3CDTF">2025-10-10T02:29:40Z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18ED28FDA5A543BA9AD498A0ED1E1D82_13</vt:lpwstr>
  </property>
  <property fmtid="{D5CDD505-2E9C-101B-9397-08002B2CF9AE}" pid="4" name="KSOTemplateDocerSaveRecord">
    <vt:lpwstr>eyJoZGlkIjoiNzRkYmMwYjcyM2MxMTBlNDYzNzU3YWY0M2MwOTE1ZmEiLCJ1c2VySWQiOiIzMzE2NDMxNDcifQ==</vt:lpwstr>
  </property>
</Properties>
</file>